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2D185B">
      <w:pPr>
        <w:rPr>
          <w:rFonts w:eastAsia="Calibri"/>
          <w:lang w:eastAsia="en-US"/>
        </w:rPr>
      </w:pPr>
      <w:bookmarkStart w:id="0" w:name="_GoBack"/>
      <w:bookmarkEnd w:id="0"/>
      <w:r w:rsidRPr="002649FE">
        <w:rPr>
          <w:rFonts w:eastAsia="Calibri"/>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672A3">
        <w:rPr>
          <w:rFonts w:ascii="Arial" w:hAnsi="Arial" w:cs="Arial"/>
          <w:sz w:val="24"/>
          <w:szCs w:val="24"/>
        </w:rPr>
        <w:t>The Colliery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672A3">
        <w:rPr>
          <w:rFonts w:ascii="Arial" w:hAnsi="Arial" w:cs="Arial"/>
          <w:sz w:val="24"/>
          <w:szCs w:val="24"/>
        </w:rPr>
        <w:t>M83638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D672A3">
              <w:rPr>
                <w:rFonts w:ascii="Arial" w:hAnsi="Arial" w:cs="Arial"/>
                <w:color w:val="auto"/>
                <w:highlight w:val="yellow"/>
              </w:rPr>
              <w:t>YES</w:t>
            </w:r>
            <w:r w:rsidRPr="002649FE">
              <w:rPr>
                <w:rFonts w:ascii="Arial" w:hAnsi="Arial" w:cs="Arial"/>
                <w:color w:val="auto"/>
              </w:rPr>
              <w:t xml:space="preserve"> / NO</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Pr="00D672A3">
              <w:rPr>
                <w:rFonts w:ascii="Arial" w:hAnsi="Arial" w:cs="Arial"/>
                <w:color w:val="auto"/>
                <w:highlight w:val="yellow"/>
              </w:rPr>
              <w:t>Face to face</w:t>
            </w:r>
            <w:r w:rsidRPr="002649FE">
              <w:rPr>
                <w:rFonts w:ascii="Arial" w:hAnsi="Arial" w:cs="Arial"/>
                <w:color w:val="auto"/>
              </w:rPr>
              <w:t xml:space="preserve">, </w:t>
            </w:r>
            <w:r w:rsidRPr="00D672A3">
              <w:rPr>
                <w:rFonts w:ascii="Arial" w:hAnsi="Arial" w:cs="Arial"/>
                <w:color w:val="auto"/>
                <w:highlight w:val="yellow"/>
              </w:rPr>
              <w:t>Email</w:t>
            </w:r>
            <w:r w:rsidRPr="002649FE">
              <w:rPr>
                <w:rFonts w:ascii="Arial" w:hAnsi="Arial" w:cs="Arial"/>
                <w:color w:val="auto"/>
              </w:rPr>
              <w:t>, Other (please specify)</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7057FA">
              <w:rPr>
                <w:rFonts w:ascii="Arial" w:hAnsi="Arial" w:cs="Arial"/>
              </w:rPr>
              <w:t xml:space="preserve"> 58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057FA" w:rsidP="00A243E1">
                  <w:pPr>
                    <w:pStyle w:val="Default"/>
                    <w:tabs>
                      <w:tab w:val="left" w:pos="142"/>
                    </w:tabs>
                    <w:rPr>
                      <w:rFonts w:ascii="Arial" w:hAnsi="Arial" w:cs="Arial"/>
                    </w:rPr>
                  </w:pPr>
                  <w:r>
                    <w:rPr>
                      <w:rFonts w:ascii="Arial" w:hAnsi="Arial" w:cs="Arial"/>
                    </w:rPr>
                    <w:t>52</w:t>
                  </w:r>
                </w:p>
              </w:tc>
              <w:tc>
                <w:tcPr>
                  <w:tcW w:w="1985" w:type="dxa"/>
                </w:tcPr>
                <w:p w:rsidR="00A75AE8" w:rsidRPr="002649FE" w:rsidRDefault="007057FA" w:rsidP="00A243E1">
                  <w:pPr>
                    <w:pStyle w:val="Default"/>
                    <w:tabs>
                      <w:tab w:val="left" w:pos="142"/>
                    </w:tabs>
                    <w:rPr>
                      <w:rFonts w:ascii="Arial" w:hAnsi="Arial" w:cs="Arial"/>
                    </w:rPr>
                  </w:pPr>
                  <w:r>
                    <w:rPr>
                      <w:rFonts w:ascii="Arial" w:hAnsi="Arial" w:cs="Arial"/>
                    </w:rPr>
                    <w:t>48</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7057FA" w:rsidP="00A243E1">
                  <w:pPr>
                    <w:pStyle w:val="Default"/>
                    <w:tabs>
                      <w:tab w:val="left" w:pos="142"/>
                    </w:tabs>
                    <w:rPr>
                      <w:rFonts w:ascii="Arial" w:hAnsi="Arial" w:cs="Arial"/>
                    </w:rPr>
                  </w:pPr>
                  <w:r>
                    <w:rPr>
                      <w:rFonts w:ascii="Arial" w:hAnsi="Arial" w:cs="Arial"/>
                    </w:rPr>
                    <w:t>0.3</w:t>
                  </w:r>
                </w:p>
              </w:tc>
              <w:tc>
                <w:tcPr>
                  <w:tcW w:w="1985" w:type="dxa"/>
                </w:tcPr>
                <w:p w:rsidR="00A75AE8" w:rsidRPr="002649FE" w:rsidRDefault="007057FA" w:rsidP="00A243E1">
                  <w:pPr>
                    <w:pStyle w:val="Default"/>
                    <w:tabs>
                      <w:tab w:val="left" w:pos="142"/>
                    </w:tabs>
                    <w:rPr>
                      <w:rFonts w:ascii="Arial" w:hAnsi="Arial" w:cs="Arial"/>
                    </w:rPr>
                  </w:pPr>
                  <w:r>
                    <w:rPr>
                      <w:rFonts w:ascii="Arial" w:hAnsi="Arial" w:cs="Arial"/>
                    </w:rPr>
                    <w:t>0.7</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7057FA"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11</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10</w:t>
                  </w:r>
                </w:p>
              </w:tc>
              <w:tc>
                <w:tcPr>
                  <w:tcW w:w="708" w:type="dxa"/>
                </w:tcPr>
                <w:p w:rsidR="00A75AE8" w:rsidRPr="002649FE" w:rsidRDefault="007057FA" w:rsidP="00A243E1">
                  <w:pPr>
                    <w:pStyle w:val="Default"/>
                    <w:tabs>
                      <w:tab w:val="left" w:pos="142"/>
                    </w:tabs>
                    <w:rPr>
                      <w:rFonts w:ascii="Arial" w:hAnsi="Arial" w:cs="Arial"/>
                    </w:rPr>
                  </w:pPr>
                  <w:r>
                    <w:rPr>
                      <w:rFonts w:ascii="Arial" w:hAnsi="Arial" w:cs="Arial"/>
                    </w:rPr>
                    <w:t>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7057FA"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0.22</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0.22</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0.5</w:t>
                  </w:r>
                </w:p>
              </w:tc>
              <w:tc>
                <w:tcPr>
                  <w:tcW w:w="850" w:type="dxa"/>
                </w:tcPr>
                <w:p w:rsidR="00A75AE8" w:rsidRPr="002649FE" w:rsidRDefault="007057FA" w:rsidP="00A243E1">
                  <w:pPr>
                    <w:pStyle w:val="Default"/>
                    <w:tabs>
                      <w:tab w:val="left" w:pos="142"/>
                    </w:tabs>
                    <w:rPr>
                      <w:rFonts w:ascii="Arial" w:hAnsi="Arial" w:cs="Arial"/>
                    </w:rPr>
                  </w:pPr>
                  <w:r>
                    <w:rPr>
                      <w:rFonts w:ascii="Arial" w:hAnsi="Arial" w:cs="Arial"/>
                    </w:rPr>
                    <w:t>0.99</w:t>
                  </w:r>
                </w:p>
              </w:tc>
              <w:tc>
                <w:tcPr>
                  <w:tcW w:w="851" w:type="dxa"/>
                </w:tcPr>
                <w:p w:rsidR="00A75AE8" w:rsidRPr="002649FE" w:rsidRDefault="007057FA" w:rsidP="00A243E1">
                  <w:pPr>
                    <w:pStyle w:val="Default"/>
                    <w:tabs>
                      <w:tab w:val="left" w:pos="142"/>
                    </w:tabs>
                    <w:rPr>
                      <w:rFonts w:ascii="Arial" w:hAnsi="Arial" w:cs="Arial"/>
                    </w:rPr>
                  </w:pPr>
                  <w:r>
                    <w:rPr>
                      <w:rFonts w:ascii="Arial" w:hAnsi="Arial" w:cs="Arial"/>
                    </w:rPr>
                    <w:t>1.12</w:t>
                  </w:r>
                </w:p>
              </w:tc>
              <w:tc>
                <w:tcPr>
                  <w:tcW w:w="708" w:type="dxa"/>
                </w:tcPr>
                <w:p w:rsidR="00A75AE8" w:rsidRPr="002649FE" w:rsidRDefault="007057FA" w:rsidP="00A243E1">
                  <w:pPr>
                    <w:pStyle w:val="Default"/>
                    <w:tabs>
                      <w:tab w:val="left" w:pos="142"/>
                    </w:tabs>
                    <w:rPr>
                      <w:rFonts w:ascii="Arial" w:hAnsi="Arial" w:cs="Arial"/>
                    </w:rPr>
                  </w:pPr>
                  <w:r>
                    <w:rPr>
                      <w:rFonts w:ascii="Arial" w:hAnsi="Arial" w:cs="Arial"/>
                    </w:rPr>
                    <w:t>0.94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057FA" w:rsidRDefault="00A75AE8" w:rsidP="00A243E1">
            <w:pPr>
              <w:pStyle w:val="Default"/>
              <w:tabs>
                <w:tab w:val="left" w:pos="142"/>
              </w:tabs>
              <w:rPr>
                <w:rFonts w:ascii="Arial" w:hAnsi="Arial" w:cs="Arial"/>
                <w:b/>
                <w:i/>
              </w:rPr>
            </w:pPr>
            <w:r w:rsidRPr="002649FE">
              <w:rPr>
                <w:rFonts w:ascii="Arial" w:hAnsi="Arial" w:cs="Arial"/>
              </w:rPr>
              <w:t xml:space="preserve">Detail the ethnic background of your practice population and PRG: </w:t>
            </w:r>
            <w:r w:rsidR="007057FA">
              <w:rPr>
                <w:rFonts w:ascii="Arial" w:hAnsi="Arial" w:cs="Arial"/>
                <w:b/>
                <w:i/>
              </w:rPr>
              <w:t xml:space="preserve">This is not recorded for all our patients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057FA" w:rsidP="00A243E1">
                  <w:pPr>
                    <w:pStyle w:val="Default"/>
                    <w:tabs>
                      <w:tab w:val="left" w:pos="142"/>
                    </w:tabs>
                    <w:rPr>
                      <w:rFonts w:ascii="Arial" w:hAnsi="Arial" w:cs="Arial"/>
                      <w:color w:val="auto"/>
                    </w:rPr>
                  </w:pPr>
                  <w:r>
                    <w:rPr>
                      <w:rFonts w:ascii="Arial" w:hAnsi="Arial" w:cs="Arial"/>
                      <w:color w:val="auto"/>
                    </w:rPr>
                    <w:t>57</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7057FA"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7057FA" w:rsidRDefault="00D672A3" w:rsidP="00A243E1">
            <w:pPr>
              <w:tabs>
                <w:tab w:val="left" w:pos="142"/>
              </w:tabs>
              <w:rPr>
                <w:rFonts w:ascii="Arial" w:hAnsi="Arial" w:cs="Arial"/>
                <w:b/>
                <w:i/>
                <w:sz w:val="24"/>
                <w:szCs w:val="24"/>
              </w:rPr>
            </w:pPr>
            <w:r w:rsidRPr="007057FA">
              <w:rPr>
                <w:rFonts w:ascii="Arial" w:hAnsi="Arial" w:cs="Arial"/>
                <w:b/>
                <w:i/>
                <w:sz w:val="24"/>
                <w:szCs w:val="24"/>
              </w:rPr>
              <w:t xml:space="preserve">Posters in waiting room. Leaflets attached to prescriptions. Invites on questionnaires. Information in New Patient leaflets. </w:t>
            </w:r>
            <w:proofErr w:type="spellStart"/>
            <w:r w:rsidRPr="007057FA">
              <w:rPr>
                <w:rFonts w:ascii="Arial" w:hAnsi="Arial" w:cs="Arial"/>
                <w:b/>
                <w:i/>
                <w:sz w:val="24"/>
                <w:szCs w:val="24"/>
              </w:rPr>
              <w:t>Powerpoint</w:t>
            </w:r>
            <w:proofErr w:type="spellEnd"/>
            <w:r w:rsidRPr="007057FA">
              <w:rPr>
                <w:rFonts w:ascii="Arial" w:hAnsi="Arial" w:cs="Arial"/>
                <w:b/>
                <w:i/>
                <w:sz w:val="24"/>
                <w:szCs w:val="24"/>
              </w:rPr>
              <w:t xml:space="preserve"> presentation shown regularly in the waiting room to attract younger members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w:t>
            </w:r>
            <w:r w:rsidRPr="00D672A3">
              <w:rPr>
                <w:rFonts w:ascii="Arial" w:hAnsi="Arial" w:cs="Arial"/>
                <w:sz w:val="24"/>
                <w:szCs w:val="24"/>
                <w:highlight w:val="yellow"/>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B12F44" w:rsidRDefault="00B12F44" w:rsidP="00A243E1">
            <w:pPr>
              <w:pStyle w:val="Default"/>
              <w:tabs>
                <w:tab w:val="left" w:pos="142"/>
              </w:tabs>
              <w:rPr>
                <w:rFonts w:ascii="Arial" w:hAnsi="Arial" w:cs="Arial"/>
                <w:b/>
              </w:rPr>
            </w:pPr>
            <w:r>
              <w:rPr>
                <w:rFonts w:ascii="Arial" w:hAnsi="Arial" w:cs="Arial"/>
                <w:b/>
              </w:rPr>
              <w:t>See attached Power point presentation</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B12F44" w:rsidRDefault="00A75AE8" w:rsidP="00A243E1">
            <w:pPr>
              <w:pStyle w:val="Default"/>
              <w:tabs>
                <w:tab w:val="left" w:pos="142"/>
              </w:tabs>
              <w:rPr>
                <w:rFonts w:ascii="Arial" w:hAnsi="Arial" w:cs="Arial"/>
                <w:b/>
                <w:sz w:val="24"/>
              </w:rPr>
            </w:pPr>
            <w:r w:rsidRPr="002649FE">
              <w:rPr>
                <w:rFonts w:ascii="Arial" w:hAnsi="Arial" w:cs="Arial"/>
                <w:sz w:val="24"/>
              </w:rPr>
              <w:t>How frequently were these reviewed with the PRG?</w:t>
            </w:r>
            <w:r w:rsidR="00D672A3">
              <w:rPr>
                <w:rFonts w:ascii="Arial" w:hAnsi="Arial" w:cs="Arial"/>
                <w:sz w:val="24"/>
              </w:rPr>
              <w:t xml:space="preserve">     </w:t>
            </w:r>
            <w:r w:rsidR="00D672A3" w:rsidRPr="00B12F44">
              <w:rPr>
                <w:rFonts w:ascii="Arial" w:hAnsi="Arial" w:cs="Arial"/>
                <w:b/>
                <w:sz w:val="24"/>
              </w:rPr>
              <w:t>Quarterly</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Prescription ordering and processing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Due to the sheer volume of prescriptions it was decided to pilot ESP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Patients will be informed of this service soon. Practice training and go live day in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Lack of space/storage </w:t>
            </w:r>
            <w:proofErr w:type="spellStart"/>
            <w:r>
              <w:rPr>
                <w:rFonts w:ascii="Arial" w:hAnsi="Arial" w:cs="Arial"/>
                <w:sz w:val="24"/>
              </w:rPr>
              <w:t>etc</w:t>
            </w:r>
            <w:proofErr w:type="spellEnd"/>
            <w:r>
              <w:rPr>
                <w:rFonts w:ascii="Arial" w:hAnsi="Arial" w:cs="Arial"/>
                <w:sz w:val="24"/>
              </w:rPr>
              <w:t xml:space="preserve"> and reception desks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Notes are now stored off site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Storing the notes off site has enabled the practice to have a private reception area using the space from where the notes were stored. Patients were informed when the alterations to the practice took place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Shortage of consulting space and patients surveys highlighted that patients prefer to be seen at Huntington re the parking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Plans have been drawn up and planning permission acquired to extend the Huntington Surgery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6720CD" w:rsidP="00A243E1">
            <w:pPr>
              <w:pStyle w:val="Default"/>
              <w:tabs>
                <w:tab w:val="left" w:pos="142"/>
              </w:tabs>
              <w:rPr>
                <w:rFonts w:ascii="Arial" w:hAnsi="Arial" w:cs="Arial"/>
                <w:sz w:val="24"/>
              </w:rPr>
            </w:pPr>
            <w:r>
              <w:rPr>
                <w:rFonts w:ascii="Arial" w:hAnsi="Arial" w:cs="Arial"/>
                <w:sz w:val="24"/>
              </w:rPr>
              <w:t xml:space="preserve">Plans to be made public soon in both waiting rooms at Cannock and Huntington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105019</wp:posOffset>
                </wp:positionV>
                <wp:extent cx="8905240" cy="461042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0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B12F44" w:rsidP="00B12F44">
                            <w:pPr>
                              <w:pStyle w:val="ListParagraph"/>
                              <w:numPr>
                                <w:ilvl w:val="0"/>
                                <w:numId w:val="3"/>
                              </w:numPr>
                            </w:pPr>
                            <w:r>
                              <w:t xml:space="preserve">Patients are clearly finding it harder to make an appointment with the doctor of their choice. We are aware of these difficulties. They have occurred because of significant changes in medical staff. A salaried partner has retired, on part-time partner has also left the practice and another salaried Doctor has become a full-time partner. The net result of all this has been a significant reduction in available appointments. We have appointed a salaried Doctor on a long-term locum basis but she is also due to retire shortly. In addition another of our salaried Doctors is due to leave soon. </w:t>
                            </w:r>
                            <w:r w:rsidRPr="007057FA">
                              <w:rPr>
                                <w:b/>
                                <w:i/>
                              </w:rPr>
                              <w:t>We have managed to appoint a new female salaried GP who is doing 6 sessions per week. Dr Wisnie</w:t>
                            </w:r>
                            <w:r w:rsidR="00853338" w:rsidRPr="007057FA">
                              <w:rPr>
                                <w:b/>
                                <w:i/>
                              </w:rPr>
                              <w:t>wski is also now doing 4 sessions per week. Dr Holbrook has now retired but we have manage</w:t>
                            </w:r>
                            <w:r w:rsidR="00E45503" w:rsidRPr="007057FA">
                              <w:rPr>
                                <w:b/>
                                <w:i/>
                              </w:rPr>
                              <w:t>d</w:t>
                            </w:r>
                            <w:r w:rsidR="00853338" w:rsidRPr="007057FA">
                              <w:rPr>
                                <w:b/>
                                <w:i/>
                              </w:rPr>
                              <w:t xml:space="preserve"> to appoint a new full time partner. We have also appointed a new Practice Nurse.</w:t>
                            </w:r>
                            <w:r w:rsidR="00853338">
                              <w:t xml:space="preserve"> </w:t>
                            </w:r>
                          </w:p>
                          <w:p w:rsidR="00853338" w:rsidRDefault="00853338" w:rsidP="00B12F44">
                            <w:pPr>
                              <w:pStyle w:val="ListParagraph"/>
                              <w:numPr>
                                <w:ilvl w:val="0"/>
                                <w:numId w:val="3"/>
                              </w:numPr>
                            </w:pPr>
                            <w:r>
                              <w:t>We are aware of the need to continue to provide a high quality service despite the serious difficulties in recruiting new Doctors. Thus we feel that offering more five-minute appointments may improve access</w:t>
                            </w:r>
                            <w:r w:rsidR="00E45503">
                              <w:t xml:space="preserve">. The result of the survey would suggest that this is a welcome development. We shall pilot any increase in these appointments to ensure that they are effective. </w:t>
                            </w:r>
                            <w:r w:rsidR="00E45503" w:rsidRPr="007057FA">
                              <w:rPr>
                                <w:b/>
                                <w:i/>
                              </w:rPr>
                              <w:t xml:space="preserve">Dr Ballinger now offers 2 hours of five minute appointments per week. </w:t>
                            </w:r>
                          </w:p>
                          <w:p w:rsidR="00E45503" w:rsidRDefault="00E45503" w:rsidP="00B12F44">
                            <w:pPr>
                              <w:pStyle w:val="ListParagraph"/>
                              <w:numPr>
                                <w:ilvl w:val="0"/>
                                <w:numId w:val="3"/>
                              </w:numPr>
                            </w:pPr>
                            <w:r>
                              <w:t xml:space="preserve">We have continued to work hard to maintain a high quality service despite the difficulties alluded to above. We scored extremely high on the recent CQC report and they commented that we were one of the best practices they had visited. We have continued to invest in our buildings to improve them with recent building work to ensure that they are CQC compliant. We are reaping some of the rewards of our earlier improvements </w:t>
                            </w:r>
                            <w:r w:rsidRPr="007057FA">
                              <w:rPr>
                                <w:b/>
                                <w:i/>
                              </w:rPr>
                              <w:t>including safety flooring throughout the ground floor, new sinks in all consultation rooms and private rooms in the reception area.</w:t>
                            </w:r>
                            <w:r w:rsidR="007057FA">
                              <w:t xml:space="preserve"> Staff now work in much better surroundings and are able to provide a much improved telephone service. </w:t>
                            </w:r>
                          </w:p>
                          <w:p w:rsidR="00E45503" w:rsidRPr="007057FA" w:rsidRDefault="007057FA" w:rsidP="00B12F44">
                            <w:pPr>
                              <w:pStyle w:val="ListParagraph"/>
                              <w:numPr>
                                <w:ilvl w:val="0"/>
                                <w:numId w:val="3"/>
                              </w:numPr>
                              <w:rPr>
                                <w:b/>
                                <w:i/>
                              </w:rPr>
                            </w:pPr>
                            <w:r>
                              <w:t xml:space="preserve">We shall continue to use information technology to improve our service. This is already evident from the increase in online booking. </w:t>
                            </w:r>
                            <w:r w:rsidRPr="007057FA">
                              <w:rPr>
                                <w:b/>
                                <w:i/>
                              </w:rPr>
                              <w:t>Patients can now access a Patient Summary online in addition to them being able to book an appointment and order a prescription.</w:t>
                            </w:r>
                          </w:p>
                          <w:p w:rsidR="007057FA" w:rsidRDefault="007057FA" w:rsidP="00B12F44">
                            <w:pPr>
                              <w:pStyle w:val="ListParagraph"/>
                              <w:numPr>
                                <w:ilvl w:val="0"/>
                                <w:numId w:val="3"/>
                              </w:numPr>
                            </w:pPr>
                            <w:r>
                              <w:t xml:space="preserve">One PPG panel member felt that the online appointment system did not offer sufficient appointments at the Huntington branch. We therefore plan to increase this number as more patients move to online bookings. We would expect to increase the number at both branches in the future. </w:t>
                            </w:r>
                            <w:r w:rsidRPr="007057FA">
                              <w:rPr>
                                <w:b/>
                                <w:i/>
                              </w:rPr>
                              <w:t>More appointments are now available at the Huntington Branch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fillcolor="white [3201]" strokeweight=".5pt">
                <v:path arrowok="t"/>
                <v:textbox>
                  <w:txbxContent>
                    <w:p w:rsidR="00A75AE8" w:rsidRDefault="00B12F44" w:rsidP="00B12F44">
                      <w:pPr>
                        <w:pStyle w:val="ListParagraph"/>
                        <w:numPr>
                          <w:ilvl w:val="0"/>
                          <w:numId w:val="3"/>
                        </w:numPr>
                      </w:pPr>
                      <w:r>
                        <w:t xml:space="preserve">Patients are clearly finding it harder to make an appointment with the doctor of their choice. We are aware of these difficulties. They have occurred because of significant changes in medical staff. A salaried partner has retired, on part-time partner has also left the practice and another salaried Doctor has become a full-time partner. The net result of all this has been a significant reduction in available appointments. We have appointed a salaried Doctor on a long-term locum basis but she is also due to retire shortly. In addition another of our salaried Doctors is due to leave soon. </w:t>
                      </w:r>
                      <w:r w:rsidRPr="007057FA">
                        <w:rPr>
                          <w:b/>
                          <w:i/>
                        </w:rPr>
                        <w:t>We have managed to appoint a new female salaried GP who is doing 6 sessions per week. Dr Wisnie</w:t>
                      </w:r>
                      <w:r w:rsidR="00853338" w:rsidRPr="007057FA">
                        <w:rPr>
                          <w:b/>
                          <w:i/>
                        </w:rPr>
                        <w:t>wski is also now doing 4 sessions per week. Dr Holbrook has now retired but we have manage</w:t>
                      </w:r>
                      <w:r w:rsidR="00E45503" w:rsidRPr="007057FA">
                        <w:rPr>
                          <w:b/>
                          <w:i/>
                        </w:rPr>
                        <w:t>d</w:t>
                      </w:r>
                      <w:r w:rsidR="00853338" w:rsidRPr="007057FA">
                        <w:rPr>
                          <w:b/>
                          <w:i/>
                        </w:rPr>
                        <w:t xml:space="preserve"> to appoint a new full time partner. We have also appointed a new Practice Nurse.</w:t>
                      </w:r>
                      <w:r w:rsidR="00853338">
                        <w:t xml:space="preserve"> </w:t>
                      </w:r>
                    </w:p>
                    <w:p w:rsidR="00853338" w:rsidRDefault="00853338" w:rsidP="00B12F44">
                      <w:pPr>
                        <w:pStyle w:val="ListParagraph"/>
                        <w:numPr>
                          <w:ilvl w:val="0"/>
                          <w:numId w:val="3"/>
                        </w:numPr>
                      </w:pPr>
                      <w:r>
                        <w:t>We are aware of the need to continue to provide a high quality service despite the serious difficulties in recruiting new Doctors. Thus we feel that offering more five-minute appointments may improve access</w:t>
                      </w:r>
                      <w:r w:rsidR="00E45503">
                        <w:t xml:space="preserve">. The result of the survey would suggest that this is a welcome development. We shall pilot any increase in these appointments to ensure that they are effective. </w:t>
                      </w:r>
                      <w:r w:rsidR="00E45503" w:rsidRPr="007057FA">
                        <w:rPr>
                          <w:b/>
                          <w:i/>
                        </w:rPr>
                        <w:t xml:space="preserve">Dr Ballinger now offers 2 hours of five minute appointments per week. </w:t>
                      </w:r>
                    </w:p>
                    <w:p w:rsidR="00E45503" w:rsidRDefault="00E45503" w:rsidP="00B12F44">
                      <w:pPr>
                        <w:pStyle w:val="ListParagraph"/>
                        <w:numPr>
                          <w:ilvl w:val="0"/>
                          <w:numId w:val="3"/>
                        </w:numPr>
                      </w:pPr>
                      <w:r>
                        <w:t xml:space="preserve">We have continued to work hard to maintain a high quality service despite the difficulties alluded to above. We scored extremely high on the recent </w:t>
                      </w:r>
                      <w:proofErr w:type="spellStart"/>
                      <w:r>
                        <w:t>CQC</w:t>
                      </w:r>
                      <w:proofErr w:type="spellEnd"/>
                      <w:r>
                        <w:t xml:space="preserve"> report and they commented that we were one of the best practices they had visited. We have continued to invest in our buildings to improve them with recent building work to ensure that they are </w:t>
                      </w:r>
                      <w:proofErr w:type="spellStart"/>
                      <w:r>
                        <w:t>CQC</w:t>
                      </w:r>
                      <w:proofErr w:type="spellEnd"/>
                      <w:r>
                        <w:t xml:space="preserve"> compliant. We are reaping some of the rewards of our earlier improvements </w:t>
                      </w:r>
                      <w:r w:rsidRPr="007057FA">
                        <w:rPr>
                          <w:b/>
                          <w:i/>
                        </w:rPr>
                        <w:t>including safety flooring throughout the ground floor, new sinks in all consultation rooms and private rooms in the reception area.</w:t>
                      </w:r>
                      <w:r w:rsidR="007057FA">
                        <w:t xml:space="preserve"> Staff now work in much better surroundings and are able to provide a much improved telephone service. </w:t>
                      </w:r>
                    </w:p>
                    <w:p w:rsidR="00E45503" w:rsidRPr="007057FA" w:rsidRDefault="007057FA" w:rsidP="00B12F44">
                      <w:pPr>
                        <w:pStyle w:val="ListParagraph"/>
                        <w:numPr>
                          <w:ilvl w:val="0"/>
                          <w:numId w:val="3"/>
                        </w:numPr>
                        <w:rPr>
                          <w:b/>
                          <w:i/>
                        </w:rPr>
                      </w:pPr>
                      <w:r>
                        <w:t xml:space="preserve">We shall continue to use information technology to improve our service. This is already evident from the increase in online booking. </w:t>
                      </w:r>
                      <w:r w:rsidRPr="007057FA">
                        <w:rPr>
                          <w:b/>
                          <w:i/>
                        </w:rPr>
                        <w:t>Patients can now access a Patient Summary online in addition to them being able to book an appointment and order a prescription.</w:t>
                      </w:r>
                    </w:p>
                    <w:p w:rsidR="007057FA" w:rsidRDefault="007057FA" w:rsidP="00B12F44">
                      <w:pPr>
                        <w:pStyle w:val="ListParagraph"/>
                        <w:numPr>
                          <w:ilvl w:val="0"/>
                          <w:numId w:val="3"/>
                        </w:numPr>
                      </w:pPr>
                      <w:r>
                        <w:t xml:space="preserve">One PPG panel member felt that the online appointment system did not offer sufficient appointments at the Huntington branch. We therefore plan to increase this number as more patients move to online bookings. We would expect to increase the number at both branches in the future. </w:t>
                      </w:r>
                      <w:r w:rsidRPr="007057FA">
                        <w:rPr>
                          <w:b/>
                          <w:i/>
                        </w:rPr>
                        <w:t>More appointments are now available at the Huntington Branch</w:t>
                      </w:r>
                      <w:r>
                        <w:t xml:space="preserv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B12F44">
              <w:rPr>
                <w:rFonts w:ascii="Arial" w:hAnsi="Arial" w:cs="Arial"/>
                <w:sz w:val="24"/>
                <w:highlight w:val="yellow"/>
              </w:rPr>
              <w:t>YES</w:t>
            </w:r>
            <w:r w:rsidRPr="002649FE">
              <w:rPr>
                <w:rFonts w:ascii="Arial" w:hAnsi="Arial" w:cs="Arial"/>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12F44">
              <w:rPr>
                <w:rFonts w:ascii="Arial" w:hAnsi="Arial" w:cs="Arial"/>
                <w:sz w:val="24"/>
              </w:rPr>
              <w:t>5</w:t>
            </w:r>
            <w:r w:rsidR="00B12F44" w:rsidRPr="00B12F44">
              <w:rPr>
                <w:rFonts w:ascii="Arial" w:hAnsi="Arial" w:cs="Arial"/>
                <w:sz w:val="24"/>
                <w:vertAlign w:val="superscript"/>
              </w:rPr>
              <w:t>th</w:t>
            </w:r>
            <w:r w:rsidR="00B12F44">
              <w:rPr>
                <w:rFonts w:ascii="Arial" w:hAnsi="Arial" w:cs="Arial"/>
                <w:sz w:val="24"/>
              </w:rPr>
              <w:t xml:space="preserve"> February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B12F44" w:rsidRDefault="00B12F44" w:rsidP="00A243E1">
            <w:pPr>
              <w:pStyle w:val="Default"/>
              <w:tabs>
                <w:tab w:val="left" w:pos="142"/>
              </w:tabs>
              <w:rPr>
                <w:rFonts w:ascii="Arial" w:hAnsi="Arial" w:cs="Arial"/>
                <w:i/>
                <w:sz w:val="24"/>
              </w:rPr>
            </w:pPr>
            <w:r>
              <w:rPr>
                <w:rFonts w:ascii="Arial" w:hAnsi="Arial" w:cs="Arial"/>
                <w:i/>
                <w:sz w:val="24"/>
              </w:rPr>
              <w:t>We continue to promote the PPG to new patients with posters in the waiting room, messages on prescriptions and through the website</w:t>
            </w:r>
          </w:p>
          <w:p w:rsidR="00B12F44" w:rsidRPr="00B12F44" w:rsidRDefault="00B12F44" w:rsidP="00A243E1">
            <w:pPr>
              <w:pStyle w:val="Default"/>
              <w:tabs>
                <w:tab w:val="left" w:pos="142"/>
              </w:tabs>
              <w:rPr>
                <w:rFonts w:ascii="Arial" w:hAnsi="Arial" w:cs="Arial"/>
                <w:i/>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B12F44" w:rsidRDefault="00B12F44" w:rsidP="00A243E1">
            <w:pPr>
              <w:pStyle w:val="Default"/>
              <w:tabs>
                <w:tab w:val="left" w:pos="142"/>
              </w:tabs>
              <w:rPr>
                <w:rFonts w:ascii="Arial" w:hAnsi="Arial" w:cs="Arial"/>
                <w:i/>
                <w:sz w:val="24"/>
              </w:rPr>
            </w:pPr>
            <w:r>
              <w:rPr>
                <w:rFonts w:ascii="Arial" w:hAnsi="Arial" w:cs="Arial"/>
                <w:i/>
                <w:sz w:val="24"/>
              </w:rPr>
              <w:t>Yes. We received feedback from NHS Choices, Website Facility, Email, Comments box in Waiting Room, discussing comments with the PPG (see attached) and Friends and Family Test</w:t>
            </w:r>
          </w:p>
          <w:p w:rsidR="00B12F44" w:rsidRPr="00B12F44" w:rsidRDefault="00B12F44" w:rsidP="00A243E1">
            <w:pPr>
              <w:pStyle w:val="Default"/>
              <w:tabs>
                <w:tab w:val="left" w:pos="142"/>
              </w:tabs>
              <w:rPr>
                <w:rFonts w:ascii="Arial" w:hAnsi="Arial" w:cs="Arial"/>
                <w:i/>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B12F44" w:rsidRDefault="00B12F44" w:rsidP="00A243E1">
            <w:pPr>
              <w:pStyle w:val="Default"/>
              <w:tabs>
                <w:tab w:val="left" w:pos="142"/>
              </w:tabs>
              <w:rPr>
                <w:rFonts w:ascii="Arial" w:hAnsi="Arial" w:cs="Arial"/>
                <w:i/>
                <w:sz w:val="24"/>
              </w:rPr>
            </w:pPr>
            <w:r>
              <w:rPr>
                <w:rFonts w:ascii="Arial" w:hAnsi="Arial" w:cs="Arial"/>
                <w:i/>
                <w:sz w:val="24"/>
              </w:rPr>
              <w:t>Yes at the meeting on the 5</w:t>
            </w:r>
            <w:r w:rsidRPr="00B12F44">
              <w:rPr>
                <w:rFonts w:ascii="Arial" w:hAnsi="Arial" w:cs="Arial"/>
                <w:i/>
                <w:sz w:val="24"/>
                <w:vertAlign w:val="superscript"/>
              </w:rPr>
              <w:t>th</w:t>
            </w:r>
            <w:r>
              <w:rPr>
                <w:rFonts w:ascii="Arial" w:hAnsi="Arial" w:cs="Arial"/>
                <w:i/>
                <w:sz w:val="24"/>
              </w:rPr>
              <w:t xml:space="preserve"> February 2015</w:t>
            </w:r>
          </w:p>
          <w:p w:rsidR="00B12F44" w:rsidRPr="00B12F44" w:rsidRDefault="00B12F44" w:rsidP="00A243E1">
            <w:pPr>
              <w:pStyle w:val="Default"/>
              <w:tabs>
                <w:tab w:val="left" w:pos="142"/>
              </w:tabs>
              <w:rPr>
                <w:rFonts w:ascii="Arial" w:hAnsi="Arial" w:cs="Arial"/>
                <w:i/>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B12F44" w:rsidRDefault="00B12F44" w:rsidP="00A243E1">
            <w:pPr>
              <w:pStyle w:val="Default"/>
              <w:tabs>
                <w:tab w:val="left" w:pos="142"/>
              </w:tabs>
              <w:rPr>
                <w:rFonts w:ascii="Arial" w:hAnsi="Arial" w:cs="Arial"/>
                <w:i/>
                <w:sz w:val="24"/>
              </w:rPr>
            </w:pPr>
            <w:r>
              <w:rPr>
                <w:rFonts w:ascii="Arial" w:hAnsi="Arial" w:cs="Arial"/>
                <w:i/>
                <w:sz w:val="24"/>
              </w:rPr>
              <w:t>Improved a number of areas – see Action Plan and Progress on Previous Years</w:t>
            </w:r>
          </w:p>
          <w:p w:rsidR="00B12F44" w:rsidRPr="00B12F44" w:rsidRDefault="00B12F44" w:rsidP="00A243E1">
            <w:pPr>
              <w:pStyle w:val="Default"/>
              <w:tabs>
                <w:tab w:val="left" w:pos="142"/>
              </w:tabs>
              <w:rPr>
                <w:rFonts w:ascii="Arial" w:hAnsi="Arial" w:cs="Arial"/>
                <w:i/>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B12F44" w:rsidRPr="00B12F44" w:rsidRDefault="00B12F44" w:rsidP="00A243E1">
            <w:pPr>
              <w:pStyle w:val="Default"/>
              <w:tabs>
                <w:tab w:val="left" w:pos="142"/>
              </w:tabs>
              <w:rPr>
                <w:rFonts w:ascii="Arial" w:hAnsi="Arial" w:cs="Arial"/>
                <w:i/>
                <w:sz w:val="24"/>
              </w:rPr>
            </w:pPr>
            <w:r>
              <w:rPr>
                <w:rFonts w:ascii="Arial" w:hAnsi="Arial" w:cs="Arial"/>
                <w:i/>
                <w:sz w:val="24"/>
              </w:rPr>
              <w:t>The practice is now part of a locality network with other practices in Cannock. A locality PPG has been set up and all of our PPG members are invited to this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E4" w:rsidRDefault="00DD4CE4" w:rsidP="002978AB">
      <w:pPr>
        <w:spacing w:line="240" w:lineRule="auto"/>
      </w:pPr>
      <w:r>
        <w:separator/>
      </w:r>
    </w:p>
  </w:endnote>
  <w:endnote w:type="continuationSeparator" w:id="0">
    <w:p w:rsidR="00DD4CE4" w:rsidRDefault="00DD4CE4"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E4" w:rsidRDefault="00DD4CE4" w:rsidP="002978AB">
      <w:pPr>
        <w:spacing w:line="240" w:lineRule="auto"/>
      </w:pPr>
      <w:r>
        <w:separator/>
      </w:r>
    </w:p>
  </w:footnote>
  <w:footnote w:type="continuationSeparator" w:id="0">
    <w:p w:rsidR="00DD4CE4" w:rsidRDefault="00DD4CE4"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D918ED"/>
    <w:multiLevelType w:val="hybridMultilevel"/>
    <w:tmpl w:val="9D647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500E"/>
    <w:rsid w:val="002649FE"/>
    <w:rsid w:val="002978AB"/>
    <w:rsid w:val="002D185B"/>
    <w:rsid w:val="002F6FB6"/>
    <w:rsid w:val="003E33D7"/>
    <w:rsid w:val="005D548C"/>
    <w:rsid w:val="005E04CE"/>
    <w:rsid w:val="006720CD"/>
    <w:rsid w:val="007057FA"/>
    <w:rsid w:val="00853338"/>
    <w:rsid w:val="00902C10"/>
    <w:rsid w:val="00A64080"/>
    <w:rsid w:val="00A75AE8"/>
    <w:rsid w:val="00B12F44"/>
    <w:rsid w:val="00B647B0"/>
    <w:rsid w:val="00BA7C3A"/>
    <w:rsid w:val="00C04D49"/>
    <w:rsid w:val="00D672A3"/>
    <w:rsid w:val="00D82B3E"/>
    <w:rsid w:val="00DD4CE4"/>
    <w:rsid w:val="00E14B02"/>
    <w:rsid w:val="00E4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7112114-A8C3-4182-8F76-23CC7F98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Julie Bradly</cp:lastModifiedBy>
  <cp:revision>2</cp:revision>
  <cp:lastPrinted>2014-04-08T10:17:00Z</cp:lastPrinted>
  <dcterms:created xsi:type="dcterms:W3CDTF">2015-03-30T15:36:00Z</dcterms:created>
  <dcterms:modified xsi:type="dcterms:W3CDTF">2015-03-30T15:36:00Z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